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9A29" w14:textId="77777777" w:rsidR="005E68E1" w:rsidRDefault="00000000">
      <w:pPr>
        <w:jc w:val="left"/>
        <w:rPr>
          <w:rFonts w:ascii="仿宋" w:eastAsia="仿宋" w:hAnsi="仿宋"/>
          <w:sz w:val="32"/>
          <w:szCs w:val="32"/>
        </w:rPr>
      </w:pPr>
      <w:r>
        <w:rPr>
          <w:rFonts w:ascii="仿宋" w:eastAsia="仿宋" w:hAnsi="仿宋" w:hint="eastAsia"/>
          <w:sz w:val="32"/>
          <w:szCs w:val="32"/>
        </w:rPr>
        <w:t>附件三：</w:t>
      </w:r>
    </w:p>
    <w:p w14:paraId="6435F993" w14:textId="77777777" w:rsidR="005E68E1" w:rsidRDefault="00000000">
      <w:pPr>
        <w:jc w:val="center"/>
        <w:rPr>
          <w:rFonts w:ascii="仿宋" w:eastAsia="仿宋" w:hAnsi="仿宋"/>
          <w:sz w:val="32"/>
          <w:szCs w:val="32"/>
        </w:rPr>
      </w:pPr>
      <w:r>
        <w:rPr>
          <w:rFonts w:ascii="仿宋" w:eastAsia="仿宋" w:hAnsi="仿宋" w:hint="eastAsia"/>
          <w:sz w:val="32"/>
          <w:szCs w:val="32"/>
        </w:rPr>
        <w:t>业务用车结算清单填写要求</w:t>
      </w:r>
    </w:p>
    <w:p w14:paraId="05B45EB6" w14:textId="5EB8C102" w:rsidR="005E68E1" w:rsidRDefault="00000000">
      <w:pPr>
        <w:jc w:val="left"/>
        <w:rPr>
          <w:rFonts w:ascii="仿宋" w:eastAsia="仿宋" w:hAnsi="仿宋"/>
          <w:sz w:val="32"/>
          <w:szCs w:val="32"/>
        </w:rPr>
      </w:pPr>
      <w:r>
        <w:rPr>
          <w:rFonts w:ascii="仿宋" w:eastAsia="仿宋" w:hAnsi="仿宋" w:hint="eastAsia"/>
          <w:sz w:val="32"/>
          <w:szCs w:val="32"/>
        </w:rPr>
        <w:t>1、业务用车报销人登录协同办公系统新建流程，至综合事务中选择“业务用车结算清单</w:t>
      </w:r>
      <w:r>
        <w:rPr>
          <w:rFonts w:ascii="仿宋" w:eastAsia="仿宋" w:hAnsi="仿宋"/>
          <w:sz w:val="32"/>
          <w:szCs w:val="32"/>
        </w:rPr>
        <w:t>”</w:t>
      </w:r>
      <w:r w:rsidR="00BD1623">
        <w:rPr>
          <w:rFonts w:ascii="仿宋" w:eastAsia="仿宋" w:hAnsi="仿宋" w:hint="eastAsia"/>
          <w:sz w:val="32"/>
          <w:szCs w:val="32"/>
        </w:rPr>
        <w:t>。</w:t>
      </w:r>
      <w:r>
        <w:rPr>
          <w:rFonts w:ascii="Times New Roman" w:eastAsia="Times New Roman" w:hAnsi="Times New Roman" w:cs="Times New Roman"/>
          <w:snapToGrid w:val="0"/>
          <w:color w:val="000000"/>
          <w:w w:val="0"/>
          <w:kern w:val="0"/>
          <w:sz w:val="0"/>
          <w:szCs w:val="0"/>
          <w:u w:color="000000"/>
          <w:shd w:val="clear" w:color="000000" w:fill="000000"/>
          <w:lang w:val="zh-CN" w:bidi="zh-CN"/>
        </w:rPr>
        <w:t xml:space="preserve"> </w:t>
      </w:r>
      <w:r>
        <w:rPr>
          <w:rFonts w:ascii="仿宋" w:eastAsia="仿宋" w:hAnsi="仿宋"/>
          <w:noProof/>
          <w:sz w:val="32"/>
          <w:szCs w:val="32"/>
        </w:rPr>
        <w:drawing>
          <wp:inline distT="0" distB="0" distL="0" distR="0" wp14:anchorId="40EEE285" wp14:editId="24EC6C58">
            <wp:extent cx="5274310" cy="2716530"/>
            <wp:effectExtent l="0" t="0" r="2540" b="7620"/>
            <wp:docPr id="13283063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06309"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2716530"/>
                    </a:xfrm>
                    <a:prstGeom prst="rect">
                      <a:avLst/>
                    </a:prstGeom>
                    <a:noFill/>
                    <a:ln>
                      <a:noFill/>
                    </a:ln>
                  </pic:spPr>
                </pic:pic>
              </a:graphicData>
            </a:graphic>
          </wp:inline>
        </w:drawing>
      </w:r>
    </w:p>
    <w:p w14:paraId="73A22B94" w14:textId="2ACE78AC" w:rsidR="005E68E1" w:rsidRDefault="00000000">
      <w:pPr>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、“汽车租赁服务企业”仅填写一家汽车租赁服务企业的完整企业名称，须与发票开票方户名一致</w:t>
      </w:r>
      <w:r w:rsidR="00BD1623">
        <w:rPr>
          <w:rFonts w:ascii="仿宋" w:eastAsia="仿宋" w:hAnsi="仿宋" w:hint="eastAsia"/>
          <w:sz w:val="32"/>
          <w:szCs w:val="32"/>
        </w:rPr>
        <w:t>。</w:t>
      </w:r>
    </w:p>
    <w:p w14:paraId="2F6EC733" w14:textId="43EF3858" w:rsidR="005E68E1" w:rsidRDefault="00000000">
      <w:pPr>
        <w:rPr>
          <w:rFonts w:ascii="仿宋" w:eastAsia="仿宋" w:hAnsi="仿宋"/>
          <w:sz w:val="32"/>
          <w:szCs w:val="32"/>
        </w:rPr>
      </w:pPr>
      <w:r>
        <w:rPr>
          <w:rFonts w:ascii="仿宋" w:eastAsia="仿宋" w:hAnsi="仿宋" w:hint="eastAsia"/>
          <w:sz w:val="32"/>
          <w:szCs w:val="32"/>
        </w:rPr>
        <w:t>3、“财务项目号”须填写在财务系统中的1</w:t>
      </w:r>
      <w:r>
        <w:rPr>
          <w:rFonts w:ascii="仿宋" w:eastAsia="仿宋" w:hAnsi="仿宋"/>
          <w:sz w:val="32"/>
          <w:szCs w:val="32"/>
        </w:rPr>
        <w:t>3</w:t>
      </w:r>
      <w:r>
        <w:rPr>
          <w:rFonts w:ascii="仿宋" w:eastAsia="仿宋" w:hAnsi="仿宋" w:hint="eastAsia"/>
          <w:sz w:val="32"/>
          <w:szCs w:val="32"/>
        </w:rPr>
        <w:t>位项目代码作为该清单对应发票的支出来源，填写正确后系统将自动回填“财务项目名称”和“项目负责人”</w:t>
      </w:r>
      <w:r w:rsidR="00BD1623">
        <w:rPr>
          <w:rFonts w:ascii="仿宋" w:eastAsia="仿宋" w:hAnsi="仿宋" w:hint="eastAsia"/>
          <w:sz w:val="32"/>
          <w:szCs w:val="32"/>
        </w:rPr>
        <w:t>。</w:t>
      </w:r>
    </w:p>
    <w:p w14:paraId="47DCC1E0" w14:textId="0E163D5F" w:rsidR="005E68E1" w:rsidRDefault="00000000">
      <w:pPr>
        <w:rPr>
          <w:rFonts w:ascii="仿宋" w:eastAsia="仿宋" w:hAnsi="仿宋"/>
          <w:sz w:val="32"/>
          <w:szCs w:val="32"/>
        </w:rPr>
      </w:pPr>
      <w:r>
        <w:rPr>
          <w:rFonts w:ascii="仿宋" w:eastAsia="仿宋" w:hAnsi="仿宋" w:hint="eastAsia"/>
          <w:sz w:val="32"/>
          <w:szCs w:val="32"/>
        </w:rPr>
        <w:t>4、在填写界面中任意位置右键点击明细导入，下载“业务用车结算清单模板”（也可通过附件四下载）或按模板导入用车清单</w:t>
      </w:r>
      <w:r w:rsidR="00BD1623">
        <w:rPr>
          <w:rFonts w:ascii="仿宋" w:eastAsia="仿宋" w:hAnsi="仿宋" w:hint="eastAsia"/>
          <w:sz w:val="32"/>
          <w:szCs w:val="32"/>
        </w:rPr>
        <w:t>。</w:t>
      </w:r>
    </w:p>
    <w:p w14:paraId="7B0679C0" w14:textId="77777777" w:rsidR="005E68E1" w:rsidRDefault="00000000">
      <w:pPr>
        <w:rPr>
          <w:rFonts w:ascii="仿宋" w:eastAsia="仿宋" w:hAnsi="仿宋"/>
          <w:sz w:val="32"/>
          <w:szCs w:val="32"/>
        </w:rPr>
      </w:pPr>
      <w:r>
        <w:rPr>
          <w:rFonts w:ascii="仿宋" w:eastAsia="仿宋" w:hAnsi="仿宋"/>
          <w:noProof/>
          <w:sz w:val="32"/>
          <w:szCs w:val="32"/>
        </w:rPr>
        <w:lastRenderedPageBreak/>
        <w:drawing>
          <wp:inline distT="0" distB="0" distL="0" distR="0" wp14:anchorId="4A70E610" wp14:editId="6836E2C7">
            <wp:extent cx="5274310" cy="1764030"/>
            <wp:effectExtent l="0" t="0" r="2540" b="7620"/>
            <wp:docPr id="11299834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83415"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1764030"/>
                    </a:xfrm>
                    <a:prstGeom prst="rect">
                      <a:avLst/>
                    </a:prstGeom>
                    <a:noFill/>
                    <a:ln>
                      <a:noFill/>
                    </a:ln>
                  </pic:spPr>
                </pic:pic>
              </a:graphicData>
            </a:graphic>
          </wp:inline>
        </w:drawing>
      </w:r>
    </w:p>
    <w:p w14:paraId="4279B09D" w14:textId="72A95FEC" w:rsidR="005E68E1" w:rsidRDefault="00000000">
      <w:pPr>
        <w:rPr>
          <w:rFonts w:ascii="仿宋" w:eastAsia="仿宋" w:hAnsi="仿宋"/>
          <w:sz w:val="32"/>
          <w:szCs w:val="32"/>
        </w:rPr>
      </w:pPr>
      <w:r>
        <w:rPr>
          <w:rFonts w:ascii="仿宋" w:eastAsia="仿宋" w:hAnsi="仿宋" w:hint="eastAsia"/>
          <w:sz w:val="32"/>
          <w:szCs w:val="32"/>
        </w:rPr>
        <w:t>5、“车型”填写须根据明细中的对应车辆类型选择，填写正确</w:t>
      </w:r>
      <w:r w:rsidR="00BD1623">
        <w:rPr>
          <w:rFonts w:ascii="仿宋" w:eastAsia="仿宋" w:hAnsi="仿宋" w:hint="eastAsia"/>
          <w:sz w:val="32"/>
          <w:szCs w:val="32"/>
        </w:rPr>
        <w:t>。</w:t>
      </w:r>
    </w:p>
    <w:p w14:paraId="5179463C" w14:textId="77777777" w:rsidR="005E68E1" w:rsidRDefault="00000000">
      <w:pPr>
        <w:rPr>
          <w:rFonts w:ascii="仿宋" w:eastAsia="仿宋" w:hAnsi="仿宋"/>
          <w:sz w:val="32"/>
          <w:szCs w:val="32"/>
        </w:rPr>
      </w:pPr>
      <w:r>
        <w:rPr>
          <w:rFonts w:ascii="仿宋" w:eastAsia="仿宋" w:hAnsi="仿宋"/>
          <w:noProof/>
          <w:sz w:val="32"/>
          <w:szCs w:val="32"/>
        </w:rPr>
        <w:drawing>
          <wp:inline distT="0" distB="0" distL="0" distR="0" wp14:anchorId="1CA6ECDF" wp14:editId="528073EF">
            <wp:extent cx="5274310" cy="3007995"/>
            <wp:effectExtent l="0" t="0" r="2540" b="1905"/>
            <wp:docPr id="18681153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15359"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t="5956"/>
                    <a:stretch>
                      <a:fillRect/>
                    </a:stretch>
                  </pic:blipFill>
                  <pic:spPr>
                    <a:xfrm>
                      <a:off x="0" y="0"/>
                      <a:ext cx="5274310" cy="3007995"/>
                    </a:xfrm>
                    <a:prstGeom prst="rect">
                      <a:avLst/>
                    </a:prstGeom>
                    <a:noFill/>
                    <a:ln>
                      <a:noFill/>
                    </a:ln>
                  </pic:spPr>
                </pic:pic>
              </a:graphicData>
            </a:graphic>
          </wp:inline>
        </w:drawing>
      </w:r>
    </w:p>
    <w:p w14:paraId="3488456A" w14:textId="1ABAFF71" w:rsidR="005E68E1" w:rsidRDefault="00000000">
      <w:pPr>
        <w:rPr>
          <w:rFonts w:ascii="仿宋" w:eastAsia="仿宋" w:hAnsi="仿宋"/>
          <w:sz w:val="32"/>
          <w:szCs w:val="32"/>
        </w:rPr>
      </w:pPr>
      <w:r>
        <w:rPr>
          <w:rFonts w:ascii="仿宋" w:eastAsia="仿宋" w:hAnsi="仿宋" w:hint="eastAsia"/>
          <w:sz w:val="32"/>
          <w:szCs w:val="32"/>
        </w:rPr>
        <w:t>6、“用车人”据实填写一名该条用车记录的使用人</w:t>
      </w:r>
      <w:r w:rsidR="00BD1623">
        <w:rPr>
          <w:rFonts w:ascii="仿宋" w:eastAsia="仿宋" w:hAnsi="仿宋" w:hint="eastAsia"/>
          <w:sz w:val="32"/>
          <w:szCs w:val="32"/>
        </w:rPr>
        <w:t>。</w:t>
      </w:r>
    </w:p>
    <w:p w14:paraId="6ADBB046" w14:textId="263A06E6" w:rsidR="005E68E1" w:rsidRDefault="00000000">
      <w:pPr>
        <w:rPr>
          <w:rFonts w:ascii="仿宋" w:eastAsia="仿宋" w:hAnsi="仿宋"/>
          <w:sz w:val="32"/>
          <w:szCs w:val="32"/>
        </w:rPr>
      </w:pPr>
      <w:r>
        <w:rPr>
          <w:rFonts w:ascii="仿宋" w:eastAsia="仿宋" w:hAnsi="仿宋" w:hint="eastAsia"/>
          <w:sz w:val="32"/>
          <w:szCs w:val="32"/>
        </w:rPr>
        <w:t>7、“用车范围”须从允许使用业务用车的六个事项中选择，选择“处理紧急突发事务”和“其他确须业务用车的情况”时，还须填写“具体事由”</w:t>
      </w:r>
      <w:r w:rsidR="00BD1623">
        <w:rPr>
          <w:rFonts w:ascii="仿宋" w:eastAsia="仿宋" w:hAnsi="仿宋" w:hint="eastAsia"/>
          <w:sz w:val="32"/>
          <w:szCs w:val="32"/>
        </w:rPr>
        <w:t>。</w:t>
      </w:r>
    </w:p>
    <w:p w14:paraId="09065330" w14:textId="77777777" w:rsidR="005E68E1" w:rsidRDefault="00000000">
      <w:pPr>
        <w:rPr>
          <w:rFonts w:ascii="仿宋" w:eastAsia="仿宋" w:hAnsi="仿宋"/>
          <w:sz w:val="32"/>
          <w:szCs w:val="32"/>
        </w:rPr>
      </w:pPr>
      <w:r>
        <w:rPr>
          <w:rFonts w:ascii="仿宋" w:eastAsia="仿宋" w:hAnsi="仿宋"/>
          <w:noProof/>
          <w:sz w:val="32"/>
          <w:szCs w:val="32"/>
        </w:rPr>
        <w:lastRenderedPageBreak/>
        <w:drawing>
          <wp:inline distT="0" distB="0" distL="0" distR="0" wp14:anchorId="269F110B" wp14:editId="3F5DA318">
            <wp:extent cx="5274310" cy="2446020"/>
            <wp:effectExtent l="0" t="0" r="2540" b="0"/>
            <wp:docPr id="17082743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74389"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2446020"/>
                    </a:xfrm>
                    <a:prstGeom prst="rect">
                      <a:avLst/>
                    </a:prstGeom>
                    <a:noFill/>
                    <a:ln>
                      <a:noFill/>
                    </a:ln>
                  </pic:spPr>
                </pic:pic>
              </a:graphicData>
            </a:graphic>
          </wp:inline>
        </w:drawing>
      </w:r>
    </w:p>
    <w:p w14:paraId="52B1FF53" w14:textId="5318D0D7" w:rsidR="005E68E1" w:rsidRDefault="00000000">
      <w:pPr>
        <w:rPr>
          <w:rFonts w:ascii="仿宋" w:eastAsia="仿宋" w:hAnsi="仿宋"/>
          <w:sz w:val="32"/>
          <w:szCs w:val="32"/>
        </w:rPr>
      </w:pPr>
      <w:r>
        <w:rPr>
          <w:rFonts w:ascii="仿宋" w:eastAsia="仿宋" w:hAnsi="仿宋" w:hint="eastAsia"/>
          <w:sz w:val="32"/>
          <w:szCs w:val="32"/>
        </w:rPr>
        <w:t>8、“用车时间”根据实际业务用车发生时间填写，如用车出差多天，每日行程须单独列支一条记录</w:t>
      </w:r>
      <w:r w:rsidR="00BD1623">
        <w:rPr>
          <w:rFonts w:ascii="仿宋" w:eastAsia="仿宋" w:hAnsi="仿宋" w:hint="eastAsia"/>
          <w:sz w:val="32"/>
          <w:szCs w:val="32"/>
        </w:rPr>
        <w:t>。</w:t>
      </w:r>
    </w:p>
    <w:p w14:paraId="119CF769" w14:textId="6BFEE8A0" w:rsidR="005E68E1" w:rsidRDefault="00000000">
      <w:pPr>
        <w:rPr>
          <w:rFonts w:ascii="仿宋" w:eastAsia="仿宋" w:hAnsi="仿宋"/>
          <w:sz w:val="32"/>
          <w:szCs w:val="32"/>
        </w:rPr>
      </w:pPr>
      <w:r>
        <w:rPr>
          <w:rFonts w:ascii="仿宋" w:eastAsia="仿宋" w:hAnsi="仿宋" w:hint="eastAsia"/>
          <w:sz w:val="32"/>
          <w:szCs w:val="32"/>
        </w:rPr>
        <w:t>9、“出发地点”、“经停地点</w:t>
      </w:r>
      <w:r>
        <w:rPr>
          <w:rFonts w:ascii="仿宋" w:eastAsia="仿宋" w:hAnsi="仿宋"/>
          <w:sz w:val="32"/>
          <w:szCs w:val="32"/>
        </w:rPr>
        <w:t>(按行驶顺序填写，用“-”分隔)</w:t>
      </w:r>
      <w:r>
        <w:rPr>
          <w:rFonts w:ascii="仿宋" w:eastAsia="仿宋" w:hAnsi="仿宋"/>
          <w:sz w:val="32"/>
          <w:szCs w:val="32"/>
        </w:rPr>
        <w:tab/>
      </w:r>
      <w:r>
        <w:rPr>
          <w:rFonts w:ascii="仿宋" w:eastAsia="仿宋" w:hAnsi="仿宋" w:hint="eastAsia"/>
          <w:sz w:val="32"/>
          <w:szCs w:val="32"/>
        </w:rPr>
        <w:t>”及“行程终点”须全过程填写完整、详细，不应漏填多填，不得填写诸如南京、市区、大厂等宽泛地名，也不得将租赁车辆的空驶行程填列进清单</w:t>
      </w:r>
      <w:r w:rsidR="00BD1623">
        <w:rPr>
          <w:rFonts w:ascii="仿宋" w:eastAsia="仿宋" w:hAnsi="仿宋" w:hint="eastAsia"/>
          <w:sz w:val="32"/>
          <w:szCs w:val="32"/>
        </w:rPr>
        <w:t>。</w:t>
      </w:r>
    </w:p>
    <w:p w14:paraId="4DCC2BF8" w14:textId="77777777" w:rsidR="005E68E1" w:rsidRDefault="00000000">
      <w:pPr>
        <w:rPr>
          <w:rFonts w:ascii="仿宋" w:eastAsia="仿宋" w:hAnsi="仿宋"/>
          <w:sz w:val="32"/>
          <w:szCs w:val="32"/>
        </w:rPr>
      </w:pPr>
      <w:r>
        <w:rPr>
          <w:rFonts w:ascii="仿宋" w:eastAsia="仿宋" w:hAnsi="仿宋"/>
          <w:noProof/>
          <w:sz w:val="32"/>
          <w:szCs w:val="32"/>
        </w:rPr>
        <w:drawing>
          <wp:inline distT="0" distB="0" distL="0" distR="0" wp14:anchorId="0646B03B" wp14:editId="60E3791C">
            <wp:extent cx="5274310" cy="3093085"/>
            <wp:effectExtent l="0" t="0" r="2540" b="0"/>
            <wp:docPr id="188984357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43576"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093085"/>
                    </a:xfrm>
                    <a:prstGeom prst="rect">
                      <a:avLst/>
                    </a:prstGeom>
                    <a:noFill/>
                    <a:ln>
                      <a:noFill/>
                    </a:ln>
                  </pic:spPr>
                </pic:pic>
              </a:graphicData>
            </a:graphic>
          </wp:inline>
        </w:drawing>
      </w:r>
    </w:p>
    <w:p w14:paraId="2CBFA51B" w14:textId="48BA15BE" w:rsidR="005E68E1" w:rsidRPr="00BD1623" w:rsidRDefault="00000000">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、“单价</w:t>
      </w:r>
      <w:r>
        <w:rPr>
          <w:rFonts w:ascii="仿宋" w:eastAsia="仿宋" w:hAnsi="仿宋"/>
          <w:sz w:val="32"/>
          <w:szCs w:val="32"/>
        </w:rPr>
        <w:t>(元/公里)</w:t>
      </w:r>
      <w:r>
        <w:rPr>
          <w:rFonts w:ascii="仿宋" w:eastAsia="仿宋" w:hAnsi="仿宋" w:hint="eastAsia"/>
          <w:sz w:val="32"/>
          <w:szCs w:val="32"/>
        </w:rPr>
        <w:t>”和“等待单价</w:t>
      </w:r>
      <w:r>
        <w:rPr>
          <w:rFonts w:ascii="仿宋" w:eastAsia="仿宋" w:hAnsi="仿宋"/>
          <w:sz w:val="32"/>
          <w:szCs w:val="32"/>
        </w:rPr>
        <w:t>(元/小时)</w:t>
      </w:r>
      <w:r>
        <w:rPr>
          <w:rFonts w:ascii="仿宋" w:eastAsia="仿宋" w:hAnsi="仿宋" w:hint="eastAsia"/>
          <w:sz w:val="32"/>
          <w:szCs w:val="32"/>
        </w:rPr>
        <w:t>”</w:t>
      </w:r>
      <w:r>
        <w:rPr>
          <w:rFonts w:hint="eastAsia"/>
        </w:rPr>
        <w:t xml:space="preserve"> </w:t>
      </w:r>
      <w:r>
        <w:rPr>
          <w:rFonts w:ascii="仿宋" w:eastAsia="仿宋" w:hAnsi="仿宋" w:hint="eastAsia"/>
          <w:sz w:val="32"/>
          <w:szCs w:val="32"/>
        </w:rPr>
        <w:t>由用车单位与供应商自行洽谈。</w:t>
      </w:r>
      <w:r w:rsidR="00BD1623" w:rsidRPr="00BD1623">
        <w:rPr>
          <w:rFonts w:ascii="仿宋" w:eastAsia="仿宋" w:hAnsi="仿宋" w:hint="eastAsia"/>
          <w:sz w:val="32"/>
          <w:szCs w:val="32"/>
        </w:rPr>
        <w:t>租赁车辆里程单价、等待单价不得高</w:t>
      </w:r>
      <w:r w:rsidR="00BD1623" w:rsidRPr="00BD1623">
        <w:rPr>
          <w:rFonts w:ascii="仿宋" w:eastAsia="仿宋" w:hAnsi="仿宋" w:hint="eastAsia"/>
          <w:sz w:val="32"/>
          <w:szCs w:val="32"/>
        </w:rPr>
        <w:lastRenderedPageBreak/>
        <w:t>于《各类车型服务报价限额表》（详见附件二）对应金额。</w:t>
      </w:r>
      <w:r w:rsidR="009D7871" w:rsidRPr="009D7871">
        <w:rPr>
          <w:rFonts w:ascii="仿宋" w:eastAsia="仿宋" w:hAnsi="仿宋" w:hint="eastAsia"/>
          <w:sz w:val="32"/>
          <w:szCs w:val="32"/>
        </w:rPr>
        <w:t>等待时间每满</w:t>
      </w:r>
      <w:r w:rsidR="009D7871" w:rsidRPr="009D7871">
        <w:rPr>
          <w:rFonts w:ascii="仿宋" w:eastAsia="仿宋" w:hAnsi="仿宋"/>
          <w:sz w:val="32"/>
          <w:szCs w:val="32"/>
        </w:rPr>
        <w:t>1小时按照对应的等待单价计费，不足1小时部分不计费</w:t>
      </w:r>
      <w:r w:rsidR="009D7871">
        <w:rPr>
          <w:rFonts w:ascii="仿宋" w:eastAsia="仿宋" w:hAnsi="仿宋" w:hint="eastAsia"/>
          <w:sz w:val="32"/>
          <w:szCs w:val="32"/>
        </w:rPr>
        <w:t>。</w:t>
      </w:r>
      <w:r w:rsidR="00BD1623">
        <w:rPr>
          <w:rFonts w:ascii="仿宋" w:eastAsia="仿宋" w:hAnsi="仿宋" w:hint="eastAsia"/>
          <w:color w:val="FF0000"/>
          <w:sz w:val="32"/>
          <w:szCs w:val="32"/>
        </w:rPr>
        <w:t xml:space="preserve"> </w:t>
      </w:r>
      <w:r w:rsidRPr="00BD1623">
        <w:rPr>
          <w:rFonts w:ascii="仿宋" w:eastAsia="仿宋" w:hAnsi="仿宋" w:hint="eastAsia"/>
          <w:sz w:val="32"/>
          <w:szCs w:val="32"/>
        </w:rPr>
        <w:t>“里程数</w:t>
      </w:r>
      <w:r w:rsidRPr="00BD1623">
        <w:rPr>
          <w:rFonts w:ascii="仿宋" w:eastAsia="仿宋" w:hAnsi="仿宋"/>
          <w:sz w:val="32"/>
          <w:szCs w:val="32"/>
        </w:rPr>
        <w:t>(公里)</w:t>
      </w:r>
      <w:r w:rsidRPr="00BD1623">
        <w:rPr>
          <w:rFonts w:ascii="仿宋" w:eastAsia="仿宋" w:hAnsi="仿宋" w:hint="eastAsia"/>
          <w:sz w:val="32"/>
          <w:szCs w:val="32"/>
        </w:rPr>
        <w:t>”、“等待时间</w:t>
      </w:r>
      <w:r w:rsidRPr="00BD1623">
        <w:rPr>
          <w:rFonts w:ascii="仿宋" w:eastAsia="仿宋" w:hAnsi="仿宋"/>
          <w:sz w:val="32"/>
          <w:szCs w:val="32"/>
        </w:rPr>
        <w:t>(小时)</w:t>
      </w:r>
      <w:r w:rsidRPr="00BD1623">
        <w:rPr>
          <w:rFonts w:ascii="仿宋" w:eastAsia="仿宋" w:hAnsi="仿宋" w:hint="eastAsia"/>
          <w:sz w:val="32"/>
          <w:szCs w:val="32"/>
        </w:rPr>
        <w:t>”、“过桥过路费</w:t>
      </w:r>
      <w:r w:rsidRPr="00BD1623">
        <w:rPr>
          <w:rFonts w:ascii="仿宋" w:eastAsia="仿宋" w:hAnsi="仿宋"/>
          <w:sz w:val="32"/>
          <w:szCs w:val="32"/>
        </w:rPr>
        <w:t>(元)</w:t>
      </w:r>
      <w:r w:rsidRPr="00BD1623">
        <w:rPr>
          <w:rFonts w:ascii="仿宋" w:eastAsia="仿宋" w:hAnsi="仿宋" w:hint="eastAsia"/>
          <w:sz w:val="32"/>
          <w:szCs w:val="32"/>
        </w:rPr>
        <w:t>”和“停车费</w:t>
      </w:r>
      <w:r w:rsidRPr="00BD1623">
        <w:rPr>
          <w:rFonts w:ascii="仿宋" w:eastAsia="仿宋" w:hAnsi="仿宋"/>
          <w:sz w:val="32"/>
          <w:szCs w:val="32"/>
        </w:rPr>
        <w:t>(元)</w:t>
      </w:r>
      <w:r w:rsidRPr="00BD1623">
        <w:rPr>
          <w:rFonts w:ascii="仿宋" w:eastAsia="仿宋" w:hAnsi="仿宋"/>
          <w:sz w:val="32"/>
          <w:szCs w:val="32"/>
        </w:rPr>
        <w:tab/>
      </w:r>
      <w:r w:rsidRPr="00BD1623">
        <w:rPr>
          <w:rFonts w:ascii="仿宋" w:eastAsia="仿宋" w:hAnsi="仿宋" w:hint="eastAsia"/>
          <w:sz w:val="32"/>
          <w:szCs w:val="32"/>
        </w:rPr>
        <w:t>”须据实填写，填写完成后将自动计算出该行程的费用总价</w:t>
      </w:r>
      <w:r w:rsidR="00BD1623">
        <w:rPr>
          <w:rFonts w:ascii="仿宋" w:eastAsia="仿宋" w:hAnsi="仿宋" w:hint="eastAsia"/>
          <w:sz w:val="32"/>
          <w:szCs w:val="32"/>
        </w:rPr>
        <w:t>。</w:t>
      </w:r>
    </w:p>
    <w:p w14:paraId="4F2DD8BF" w14:textId="077274E4" w:rsidR="005E68E1" w:rsidRDefault="00000000">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、该月所有行程填写完成后，系统自动计算出合计总价，单份用车清单合计总价或同一家汽车租赁服务企业多份用车清单合计总价之和须与对方开具的发票金额一致</w:t>
      </w:r>
      <w:r w:rsidR="00BD1623">
        <w:rPr>
          <w:rFonts w:ascii="仿宋" w:eastAsia="仿宋" w:hAnsi="仿宋" w:hint="eastAsia"/>
          <w:sz w:val="32"/>
          <w:szCs w:val="32"/>
        </w:rPr>
        <w:t>。</w:t>
      </w:r>
    </w:p>
    <w:p w14:paraId="2CE0EC5B" w14:textId="77777777" w:rsidR="005E68E1" w:rsidRDefault="00000000">
      <w:pP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、业务用车结算清单由经费负责人审批后方可用于报销。</w:t>
      </w:r>
    </w:p>
    <w:p w14:paraId="4BD83826" w14:textId="77777777" w:rsidR="005E68E1" w:rsidRDefault="00000000">
      <w:pPr>
        <w:rPr>
          <w:rFonts w:ascii="仿宋" w:eastAsia="仿宋" w:hAnsi="仿宋"/>
          <w:sz w:val="32"/>
          <w:szCs w:val="32"/>
        </w:rPr>
      </w:pPr>
      <w:r>
        <w:rPr>
          <w:rFonts w:ascii="仿宋" w:eastAsia="仿宋" w:hAnsi="仿宋"/>
          <w:noProof/>
          <w:sz w:val="32"/>
          <w:szCs w:val="32"/>
        </w:rPr>
        <w:drawing>
          <wp:inline distT="0" distB="0" distL="0" distR="0" wp14:anchorId="11AA116C" wp14:editId="4CFAF471">
            <wp:extent cx="5274310" cy="2282825"/>
            <wp:effectExtent l="0" t="0" r="2540" b="3175"/>
            <wp:docPr id="58208589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5891"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2282825"/>
                    </a:xfrm>
                    <a:prstGeom prst="rect">
                      <a:avLst/>
                    </a:prstGeom>
                    <a:noFill/>
                    <a:ln>
                      <a:noFill/>
                    </a:ln>
                  </pic:spPr>
                </pic:pic>
              </a:graphicData>
            </a:graphic>
          </wp:inline>
        </w:drawing>
      </w:r>
    </w:p>
    <w:sectPr w:rsidR="005E6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293A" w14:textId="77777777" w:rsidR="003E373F" w:rsidRDefault="003E373F" w:rsidP="00BD1623">
      <w:r>
        <w:separator/>
      </w:r>
    </w:p>
  </w:endnote>
  <w:endnote w:type="continuationSeparator" w:id="0">
    <w:p w14:paraId="327FF769" w14:textId="77777777" w:rsidR="003E373F" w:rsidRDefault="003E373F" w:rsidP="00BD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3B85" w14:textId="77777777" w:rsidR="003E373F" w:rsidRDefault="003E373F" w:rsidP="00BD1623">
      <w:r>
        <w:separator/>
      </w:r>
    </w:p>
  </w:footnote>
  <w:footnote w:type="continuationSeparator" w:id="0">
    <w:p w14:paraId="1D0437F4" w14:textId="77777777" w:rsidR="003E373F" w:rsidRDefault="003E373F" w:rsidP="00BD1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1NTk3M2IzMjFkZWVjNjUxOWM3MjBmZmFiN2M1M2EifQ=="/>
  </w:docVars>
  <w:rsids>
    <w:rsidRoot w:val="009E1988"/>
    <w:rsid w:val="0003559C"/>
    <w:rsid w:val="003E373F"/>
    <w:rsid w:val="005E68E1"/>
    <w:rsid w:val="009D7871"/>
    <w:rsid w:val="009E1988"/>
    <w:rsid w:val="00B773E7"/>
    <w:rsid w:val="00BD1623"/>
    <w:rsid w:val="00CE5DD3"/>
    <w:rsid w:val="00D021E6"/>
    <w:rsid w:val="00ED52E5"/>
    <w:rsid w:val="00F0738B"/>
    <w:rsid w:val="216D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71CC"/>
  <w15:docId w15:val="{4A175FE1-3703-4DBD-9270-E91D6219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623"/>
    <w:pPr>
      <w:tabs>
        <w:tab w:val="center" w:pos="4153"/>
        <w:tab w:val="right" w:pos="8306"/>
      </w:tabs>
      <w:snapToGrid w:val="0"/>
      <w:jc w:val="center"/>
    </w:pPr>
    <w:rPr>
      <w:sz w:val="18"/>
      <w:szCs w:val="18"/>
    </w:rPr>
  </w:style>
  <w:style w:type="character" w:customStyle="1" w:styleId="a4">
    <w:name w:val="页眉 字符"/>
    <w:basedOn w:val="a0"/>
    <w:link w:val="a3"/>
    <w:uiPriority w:val="99"/>
    <w:rsid w:val="00BD1623"/>
    <w:rPr>
      <w:kern w:val="2"/>
      <w:sz w:val="18"/>
      <w:szCs w:val="18"/>
    </w:rPr>
  </w:style>
  <w:style w:type="paragraph" w:styleId="a5">
    <w:name w:val="footer"/>
    <w:basedOn w:val="a"/>
    <w:link w:val="a6"/>
    <w:uiPriority w:val="99"/>
    <w:unhideWhenUsed/>
    <w:rsid w:val="00BD1623"/>
    <w:pPr>
      <w:tabs>
        <w:tab w:val="center" w:pos="4153"/>
        <w:tab w:val="right" w:pos="8306"/>
      </w:tabs>
      <w:snapToGrid w:val="0"/>
      <w:jc w:val="left"/>
    </w:pPr>
    <w:rPr>
      <w:sz w:val="18"/>
      <w:szCs w:val="18"/>
    </w:rPr>
  </w:style>
  <w:style w:type="character" w:customStyle="1" w:styleId="a6">
    <w:name w:val="页脚 字符"/>
    <w:basedOn w:val="a0"/>
    <w:link w:val="a5"/>
    <w:uiPriority w:val="99"/>
    <w:rsid w:val="00BD16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天宇 秦</dc:creator>
  <cp:lastModifiedBy>天宇 秦</cp:lastModifiedBy>
  <cp:revision>7</cp:revision>
  <dcterms:created xsi:type="dcterms:W3CDTF">2024-01-05T03:21:00Z</dcterms:created>
  <dcterms:modified xsi:type="dcterms:W3CDTF">2024-01-10T00:19:00Z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BEF6CE27489A45F380085F0C8734ACE1_13</vt:lpwstr>
  </property>
</Properties>
</file>